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714D4B" w:rsidTr="008D55D7">
        <w:tc>
          <w:tcPr>
            <w:tcW w:w="2425" w:type="dxa"/>
          </w:tcPr>
          <w:p w:rsidR="00EC2018" w:rsidRPr="00714D4B" w:rsidRDefault="008D55D7" w:rsidP="00EC2018">
            <w:pPr>
              <w:pStyle w:val="NoSpacing"/>
              <w:rPr>
                <w:sz w:val="20"/>
                <w:szCs w:val="20"/>
              </w:rPr>
            </w:pPr>
            <w:r w:rsidRPr="00714D4B">
              <w:rPr>
                <w:noProof/>
                <w:sz w:val="20"/>
                <w:szCs w:val="20"/>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714D4B">
              <w:rPr>
                <w:noProof/>
                <w:position w:val="2"/>
                <w:sz w:val="20"/>
                <w:szCs w:val="20"/>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714D4B" w:rsidRDefault="008D55D7" w:rsidP="00EC2018">
            <w:pPr>
              <w:pStyle w:val="NoSpacing"/>
              <w:jc w:val="center"/>
              <w:rPr>
                <w:sz w:val="20"/>
                <w:szCs w:val="20"/>
              </w:rPr>
            </w:pPr>
            <w:r w:rsidRPr="00714D4B">
              <w:rPr>
                <w:noProof/>
                <w:spacing w:val="145"/>
                <w:sz w:val="20"/>
                <w:szCs w:val="20"/>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714D4B" w:rsidRDefault="008D55D7" w:rsidP="00EC2018">
            <w:pPr>
              <w:pStyle w:val="NoSpacing"/>
              <w:rPr>
                <w:sz w:val="20"/>
                <w:szCs w:val="20"/>
              </w:rPr>
            </w:pPr>
            <w:r w:rsidRPr="00714D4B">
              <w:rPr>
                <w:noProof/>
                <w:sz w:val="20"/>
                <w:szCs w:val="20"/>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714D4B" w:rsidRDefault="007C7328" w:rsidP="00EC2018">
            <w:pPr>
              <w:pStyle w:val="NoSpacing"/>
              <w:rPr>
                <w:sz w:val="20"/>
                <w:szCs w:val="20"/>
              </w:rPr>
            </w:pPr>
            <w:r w:rsidRPr="00714D4B">
              <w:rPr>
                <w:noProof/>
                <w:sz w:val="20"/>
                <w:szCs w:val="20"/>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714D4B" w:rsidTr="008D55D7">
        <w:tc>
          <w:tcPr>
            <w:tcW w:w="11016" w:type="dxa"/>
            <w:gridSpan w:val="4"/>
          </w:tcPr>
          <w:p w:rsidR="00673139" w:rsidRPr="00714D4B" w:rsidRDefault="00673139" w:rsidP="00EC2018">
            <w:pPr>
              <w:pStyle w:val="NoSpacing"/>
              <w:rPr>
                <w:sz w:val="20"/>
                <w:szCs w:val="20"/>
              </w:rPr>
            </w:pPr>
          </w:p>
        </w:tc>
      </w:tr>
      <w:tr w:rsidR="006338A9" w:rsidRPr="00714D4B" w:rsidTr="008D55D7">
        <w:tc>
          <w:tcPr>
            <w:tcW w:w="2425" w:type="dxa"/>
          </w:tcPr>
          <w:p w:rsidR="006338A9" w:rsidRPr="00714D4B" w:rsidRDefault="006338A9" w:rsidP="00EC2018">
            <w:pPr>
              <w:pStyle w:val="NoSpacing"/>
              <w:rPr>
                <w:b/>
                <w:sz w:val="20"/>
                <w:szCs w:val="20"/>
              </w:rPr>
            </w:pPr>
            <w:r w:rsidRPr="00714D4B">
              <w:rPr>
                <w:b/>
                <w:sz w:val="20"/>
                <w:szCs w:val="20"/>
              </w:rPr>
              <w:t>Class Title:</w:t>
            </w:r>
          </w:p>
        </w:tc>
        <w:tc>
          <w:tcPr>
            <w:tcW w:w="8591" w:type="dxa"/>
            <w:gridSpan w:val="3"/>
          </w:tcPr>
          <w:p w:rsidR="006338A9" w:rsidRPr="00714D4B" w:rsidRDefault="006338A9" w:rsidP="00EC2018">
            <w:pPr>
              <w:pStyle w:val="NoSpacing"/>
              <w:rPr>
                <w:sz w:val="20"/>
                <w:szCs w:val="20"/>
              </w:rPr>
            </w:pPr>
            <w:r w:rsidRPr="00714D4B">
              <w:rPr>
                <w:sz w:val="20"/>
                <w:szCs w:val="20"/>
              </w:rPr>
              <w:t>PER21</w:t>
            </w:r>
            <w:r w:rsidR="00A365F8" w:rsidRPr="00714D4B">
              <w:rPr>
                <w:sz w:val="20"/>
                <w:szCs w:val="20"/>
              </w:rPr>
              <w:t>1 – Medical Management of Chemical, Biological, Radiological, Nuclear and Explosive (CBRNE) Events</w:t>
            </w:r>
          </w:p>
          <w:p w:rsidR="00673139" w:rsidRPr="00714D4B" w:rsidRDefault="00673139" w:rsidP="00EC2018">
            <w:pPr>
              <w:pStyle w:val="NoSpacing"/>
              <w:rPr>
                <w:sz w:val="20"/>
                <w:szCs w:val="20"/>
              </w:rPr>
            </w:pPr>
          </w:p>
        </w:tc>
      </w:tr>
      <w:tr w:rsidR="006338A9" w:rsidRPr="00714D4B" w:rsidTr="008D55D7">
        <w:tc>
          <w:tcPr>
            <w:tcW w:w="2425" w:type="dxa"/>
          </w:tcPr>
          <w:p w:rsidR="006338A9" w:rsidRPr="00714D4B" w:rsidRDefault="006338A9" w:rsidP="00414F21">
            <w:pPr>
              <w:pStyle w:val="NoSpacing"/>
              <w:rPr>
                <w:b/>
                <w:sz w:val="20"/>
                <w:szCs w:val="20"/>
              </w:rPr>
            </w:pPr>
            <w:r w:rsidRPr="00714D4B">
              <w:rPr>
                <w:b/>
                <w:sz w:val="20"/>
                <w:szCs w:val="20"/>
              </w:rPr>
              <w:t>Class Date</w:t>
            </w:r>
            <w:r w:rsidR="00414F21" w:rsidRPr="00714D4B">
              <w:rPr>
                <w:b/>
                <w:sz w:val="20"/>
                <w:szCs w:val="20"/>
              </w:rPr>
              <w:t>(s)/Time</w:t>
            </w:r>
            <w:r w:rsidRPr="00714D4B">
              <w:rPr>
                <w:b/>
                <w:sz w:val="20"/>
                <w:szCs w:val="20"/>
              </w:rPr>
              <w:t>:</w:t>
            </w:r>
          </w:p>
        </w:tc>
        <w:tc>
          <w:tcPr>
            <w:tcW w:w="8591" w:type="dxa"/>
            <w:gridSpan w:val="3"/>
          </w:tcPr>
          <w:p w:rsidR="006338A9" w:rsidRPr="00714D4B" w:rsidRDefault="00A365F8" w:rsidP="00EC2018">
            <w:pPr>
              <w:pStyle w:val="NoSpacing"/>
              <w:rPr>
                <w:sz w:val="20"/>
                <w:szCs w:val="20"/>
              </w:rPr>
            </w:pPr>
            <w:r w:rsidRPr="00714D4B">
              <w:rPr>
                <w:sz w:val="20"/>
                <w:szCs w:val="20"/>
              </w:rPr>
              <w:t xml:space="preserve">September 7-8, 2021 / 8:00 am – 5:00 pm </w:t>
            </w:r>
          </w:p>
          <w:p w:rsidR="00673139" w:rsidRPr="00714D4B" w:rsidRDefault="00673139" w:rsidP="00EC2018">
            <w:pPr>
              <w:pStyle w:val="NoSpacing"/>
              <w:rPr>
                <w:sz w:val="20"/>
                <w:szCs w:val="20"/>
              </w:rPr>
            </w:pPr>
          </w:p>
        </w:tc>
      </w:tr>
      <w:tr w:rsidR="006338A9" w:rsidRPr="00714D4B" w:rsidTr="008D55D7">
        <w:tc>
          <w:tcPr>
            <w:tcW w:w="2425" w:type="dxa"/>
          </w:tcPr>
          <w:p w:rsidR="006338A9" w:rsidRPr="00714D4B" w:rsidRDefault="006338A9" w:rsidP="00EC2018">
            <w:pPr>
              <w:pStyle w:val="NoSpacing"/>
              <w:rPr>
                <w:b/>
                <w:sz w:val="20"/>
                <w:szCs w:val="20"/>
              </w:rPr>
            </w:pPr>
            <w:r w:rsidRPr="00714D4B">
              <w:rPr>
                <w:b/>
                <w:sz w:val="20"/>
                <w:szCs w:val="20"/>
              </w:rPr>
              <w:t>Sponsor(s):</w:t>
            </w:r>
          </w:p>
        </w:tc>
        <w:tc>
          <w:tcPr>
            <w:tcW w:w="8591" w:type="dxa"/>
            <w:gridSpan w:val="3"/>
          </w:tcPr>
          <w:p w:rsidR="006338A9" w:rsidRPr="00714D4B" w:rsidRDefault="006338A9" w:rsidP="00EC2018">
            <w:pPr>
              <w:pStyle w:val="NoSpacing"/>
              <w:rPr>
                <w:sz w:val="20"/>
                <w:szCs w:val="20"/>
              </w:rPr>
            </w:pPr>
            <w:r w:rsidRPr="00714D4B">
              <w:rPr>
                <w:sz w:val="20"/>
                <w:szCs w:val="20"/>
              </w:rPr>
              <w:t>Missouri State Emergency Management Agency, Texas Engineering Extension Service (TEEX)</w:t>
            </w:r>
          </w:p>
          <w:p w:rsidR="00673139" w:rsidRPr="00714D4B" w:rsidRDefault="00673139" w:rsidP="00EC2018">
            <w:pPr>
              <w:pStyle w:val="NoSpacing"/>
              <w:rPr>
                <w:sz w:val="20"/>
                <w:szCs w:val="20"/>
              </w:rPr>
            </w:pPr>
          </w:p>
        </w:tc>
      </w:tr>
      <w:tr w:rsidR="006338A9" w:rsidRPr="00714D4B" w:rsidTr="008D55D7">
        <w:tc>
          <w:tcPr>
            <w:tcW w:w="2425" w:type="dxa"/>
          </w:tcPr>
          <w:p w:rsidR="006338A9" w:rsidRPr="00714D4B" w:rsidRDefault="006338A9" w:rsidP="00EC2018">
            <w:pPr>
              <w:pStyle w:val="NoSpacing"/>
              <w:rPr>
                <w:b/>
                <w:sz w:val="20"/>
                <w:szCs w:val="20"/>
              </w:rPr>
            </w:pPr>
            <w:r w:rsidRPr="00714D4B">
              <w:rPr>
                <w:b/>
                <w:sz w:val="20"/>
                <w:szCs w:val="20"/>
              </w:rPr>
              <w:t>Course Description:</w:t>
            </w:r>
          </w:p>
        </w:tc>
        <w:tc>
          <w:tcPr>
            <w:tcW w:w="8591" w:type="dxa"/>
            <w:gridSpan w:val="3"/>
          </w:tcPr>
          <w:p w:rsidR="00A365F8" w:rsidRPr="00714D4B" w:rsidRDefault="00A365F8" w:rsidP="00A365F8">
            <w:pPr>
              <w:pStyle w:val="NoSpacing"/>
              <w:rPr>
                <w:sz w:val="20"/>
                <w:szCs w:val="20"/>
                <w:lang w:bidi="ar-SA"/>
              </w:rPr>
            </w:pPr>
            <w:r w:rsidRPr="00714D4B">
              <w:rPr>
                <w:sz w:val="20"/>
                <w:szCs w:val="20"/>
                <w:lang w:bidi="ar-SA"/>
              </w:rPr>
              <w:t>Participants completing this program will be able to properly perform patient triage, decontamination, treatment, and transportation in the event of exposure to chemical, biological, radiological, nuclear, and explosive (CBRNE) weapons. The course consists of facilitated discussions, small group exercises, hands-on activities, and task-oriented practical applications. Course participants will use both state-of-the-art adult and pediatric human patient simulators to promote critical thinking skills while utilizing the RAPID – Care concept.</w:t>
            </w:r>
          </w:p>
          <w:p w:rsidR="00A365F8" w:rsidRPr="00714D4B" w:rsidRDefault="00A365F8" w:rsidP="00A365F8">
            <w:pPr>
              <w:pStyle w:val="NoSpacing"/>
              <w:rPr>
                <w:sz w:val="20"/>
                <w:szCs w:val="20"/>
                <w:lang w:bidi="ar-SA"/>
              </w:rPr>
            </w:pPr>
            <w:bookmarkStart w:id="0" w:name="_GoBack"/>
            <w:bookmarkEnd w:id="0"/>
          </w:p>
          <w:p w:rsidR="00A365F8" w:rsidRPr="00714D4B" w:rsidRDefault="00A365F8" w:rsidP="00A365F8">
            <w:pPr>
              <w:pStyle w:val="NoSpacing"/>
              <w:rPr>
                <w:sz w:val="20"/>
                <w:szCs w:val="20"/>
                <w:lang w:bidi="ar-SA"/>
              </w:rPr>
            </w:pPr>
            <w:r w:rsidRPr="00714D4B">
              <w:rPr>
                <w:i/>
                <w:sz w:val="20"/>
                <w:szCs w:val="20"/>
                <w:lang w:bidi="ar-SA"/>
              </w:rPr>
              <w:t>Course Objectives</w:t>
            </w:r>
            <w:r w:rsidRPr="00714D4B">
              <w:rPr>
                <w:sz w:val="20"/>
                <w:szCs w:val="20"/>
                <w:lang w:bidi="ar-SA"/>
              </w:rPr>
              <w:br/>
              <w:t>-Utilize available resources to protect themselves during a Chemical, Biological, Radiological, Nuclear, and Explosive (CBRNE) response.</w:t>
            </w:r>
            <w:r w:rsidRPr="00714D4B">
              <w:rPr>
                <w:sz w:val="20"/>
                <w:szCs w:val="20"/>
                <w:lang w:bidi="ar-SA"/>
              </w:rPr>
              <w:br/>
              <w:t>-Describe the effects of chemical agents, and identify and treat the signs and symptoms of chemical agent exposure in both adult and pediatric patients in accordance with local protocol.</w:t>
            </w:r>
            <w:r w:rsidRPr="00714D4B">
              <w:rPr>
                <w:sz w:val="20"/>
                <w:szCs w:val="20"/>
                <w:lang w:bidi="ar-SA"/>
              </w:rPr>
              <w:br/>
              <w:t>-Describe the effects of radiation, identify and treat the signs and symptoms of exposure in both adult and pediatric patients in accordance with local protocol, and recognize the radiological devices through which radiation can be dispersed.</w:t>
            </w:r>
            <w:r w:rsidRPr="00714D4B">
              <w:rPr>
                <w:sz w:val="20"/>
                <w:szCs w:val="20"/>
                <w:lang w:bidi="ar-SA"/>
              </w:rPr>
              <w:br/>
              <w:t>-Describe the effects of biological agents, and identify and treat the signs and symptoms of biological agent exposure in both adult and pediatric patients in accordance with local protocol.</w:t>
            </w:r>
            <w:r w:rsidRPr="00714D4B">
              <w:rPr>
                <w:sz w:val="20"/>
                <w:szCs w:val="20"/>
                <w:lang w:bidi="ar-SA"/>
              </w:rPr>
              <w:br/>
              <w:t>-Describe the effects resulting from an explosion and treat anticipated injuries in both adult and pediatric patients.</w:t>
            </w:r>
            <w:r w:rsidRPr="00714D4B">
              <w:rPr>
                <w:sz w:val="20"/>
                <w:szCs w:val="20"/>
                <w:lang w:bidi="ar-SA"/>
              </w:rPr>
              <w:br/>
              <w:t>-Recognize the importance of an integrated whole-community approach to prevention, preparedness, response, recovery, and mitigation in the context of a Chemical, Biological, Radiological, Nuclear, and Explosive (CBRNE) incident.</w:t>
            </w:r>
          </w:p>
          <w:p w:rsidR="00673139" w:rsidRPr="00714D4B" w:rsidRDefault="00673139" w:rsidP="00714D4B">
            <w:pPr>
              <w:pStyle w:val="NoSpacing"/>
              <w:rPr>
                <w:sz w:val="20"/>
                <w:szCs w:val="20"/>
              </w:rPr>
            </w:pPr>
          </w:p>
        </w:tc>
      </w:tr>
      <w:tr w:rsidR="006338A9" w:rsidRPr="00714D4B" w:rsidTr="008D55D7">
        <w:tc>
          <w:tcPr>
            <w:tcW w:w="2425" w:type="dxa"/>
          </w:tcPr>
          <w:p w:rsidR="006338A9" w:rsidRPr="00714D4B" w:rsidRDefault="006338A9" w:rsidP="00EC2018">
            <w:pPr>
              <w:pStyle w:val="NoSpacing"/>
              <w:rPr>
                <w:b/>
                <w:sz w:val="20"/>
                <w:szCs w:val="20"/>
              </w:rPr>
            </w:pPr>
            <w:r w:rsidRPr="00714D4B">
              <w:rPr>
                <w:b/>
                <w:sz w:val="20"/>
                <w:szCs w:val="20"/>
              </w:rPr>
              <w:t>Target Audience:</w:t>
            </w:r>
          </w:p>
        </w:tc>
        <w:tc>
          <w:tcPr>
            <w:tcW w:w="8591" w:type="dxa"/>
            <w:gridSpan w:val="3"/>
          </w:tcPr>
          <w:p w:rsidR="00673139" w:rsidRPr="00714D4B" w:rsidRDefault="00714D4B" w:rsidP="00714D4B">
            <w:pPr>
              <w:pStyle w:val="NoSpacing"/>
              <w:rPr>
                <w:sz w:val="20"/>
                <w:szCs w:val="20"/>
              </w:rPr>
            </w:pPr>
            <w:r w:rsidRPr="00714D4B">
              <w:rPr>
                <w:sz w:val="20"/>
                <w:szCs w:val="20"/>
              </w:rPr>
              <w:t>Public Health, Public Safety Communications (911), Security and Safety, Emergency Medical Services (EMS), HAZMAT, Law Enforcement, Emergency Management, Fire, First Responders, Medical (Hospital), and Emergency Management Director</w:t>
            </w:r>
          </w:p>
          <w:p w:rsidR="00714D4B" w:rsidRPr="00714D4B" w:rsidRDefault="00714D4B" w:rsidP="00714D4B">
            <w:pPr>
              <w:pStyle w:val="NoSpacing"/>
              <w:rPr>
                <w:sz w:val="20"/>
                <w:szCs w:val="20"/>
              </w:rPr>
            </w:pPr>
          </w:p>
        </w:tc>
      </w:tr>
      <w:tr w:rsidR="006338A9" w:rsidRPr="00714D4B" w:rsidTr="008D55D7">
        <w:tc>
          <w:tcPr>
            <w:tcW w:w="2425" w:type="dxa"/>
          </w:tcPr>
          <w:p w:rsidR="006338A9" w:rsidRPr="00714D4B" w:rsidRDefault="006338A9" w:rsidP="00EC2018">
            <w:pPr>
              <w:pStyle w:val="NoSpacing"/>
              <w:rPr>
                <w:b/>
                <w:sz w:val="20"/>
                <w:szCs w:val="20"/>
              </w:rPr>
            </w:pPr>
            <w:r w:rsidRPr="00714D4B">
              <w:rPr>
                <w:b/>
                <w:sz w:val="20"/>
                <w:szCs w:val="20"/>
              </w:rPr>
              <w:lastRenderedPageBreak/>
              <w:t>Location:</w:t>
            </w:r>
          </w:p>
        </w:tc>
        <w:tc>
          <w:tcPr>
            <w:tcW w:w="8591" w:type="dxa"/>
            <w:gridSpan w:val="3"/>
          </w:tcPr>
          <w:p w:rsidR="00A365F8" w:rsidRPr="00714D4B" w:rsidRDefault="00A365F8" w:rsidP="00A365F8">
            <w:pPr>
              <w:pStyle w:val="NoSpacing"/>
              <w:rPr>
                <w:rFonts w:ascii="Times New Roman" w:hAnsi="Times New Roman"/>
                <w:sz w:val="20"/>
                <w:szCs w:val="20"/>
                <w:lang w:bidi="ar-SA"/>
              </w:rPr>
            </w:pPr>
            <w:r w:rsidRPr="00714D4B">
              <w:rPr>
                <w:sz w:val="20"/>
                <w:szCs w:val="20"/>
                <w:shd w:val="clear" w:color="auto" w:fill="FFFFFF"/>
                <w:lang w:bidi="ar-SA"/>
              </w:rPr>
              <w:t xml:space="preserve">Christian County Planning and Development </w:t>
            </w:r>
            <w:proofErr w:type="spellStart"/>
            <w:r w:rsidRPr="00714D4B">
              <w:rPr>
                <w:sz w:val="20"/>
                <w:szCs w:val="20"/>
                <w:shd w:val="clear" w:color="auto" w:fill="FFFFFF"/>
                <w:lang w:bidi="ar-SA"/>
              </w:rPr>
              <w:t>Bldg</w:t>
            </w:r>
            <w:proofErr w:type="spellEnd"/>
          </w:p>
          <w:p w:rsidR="00A365F8" w:rsidRPr="00714D4B" w:rsidRDefault="00A365F8" w:rsidP="00A365F8">
            <w:pPr>
              <w:pStyle w:val="NoSpacing"/>
              <w:rPr>
                <w:sz w:val="20"/>
                <w:szCs w:val="20"/>
                <w:lang w:bidi="ar-SA"/>
              </w:rPr>
            </w:pPr>
            <w:r w:rsidRPr="00714D4B">
              <w:rPr>
                <w:sz w:val="20"/>
                <w:szCs w:val="20"/>
                <w:lang w:bidi="ar-SA"/>
              </w:rPr>
              <w:t>1106 W. Jackson</w:t>
            </w:r>
            <w:r w:rsidRPr="00714D4B">
              <w:rPr>
                <w:sz w:val="20"/>
                <w:szCs w:val="20"/>
                <w:lang w:bidi="ar-SA"/>
              </w:rPr>
              <w:br/>
              <w:t>Ozark, MO 65721</w:t>
            </w:r>
          </w:p>
          <w:p w:rsidR="00673139" w:rsidRPr="00714D4B" w:rsidRDefault="00673139" w:rsidP="00EC2018">
            <w:pPr>
              <w:pStyle w:val="NoSpacing"/>
              <w:rPr>
                <w:sz w:val="20"/>
                <w:szCs w:val="20"/>
              </w:rPr>
            </w:pPr>
          </w:p>
        </w:tc>
      </w:tr>
      <w:tr w:rsidR="00414F21" w:rsidRPr="00714D4B" w:rsidTr="008D55D7">
        <w:tc>
          <w:tcPr>
            <w:tcW w:w="2425" w:type="dxa"/>
          </w:tcPr>
          <w:p w:rsidR="00414F21" w:rsidRPr="00714D4B" w:rsidRDefault="00414F21" w:rsidP="00414F21">
            <w:pPr>
              <w:pStyle w:val="NoSpacing"/>
              <w:rPr>
                <w:b/>
                <w:sz w:val="20"/>
                <w:szCs w:val="20"/>
              </w:rPr>
            </w:pPr>
            <w:r w:rsidRPr="00714D4B">
              <w:rPr>
                <w:b/>
                <w:sz w:val="20"/>
                <w:szCs w:val="20"/>
              </w:rPr>
              <w:t>Class Information:</w:t>
            </w:r>
          </w:p>
        </w:tc>
        <w:tc>
          <w:tcPr>
            <w:tcW w:w="8591" w:type="dxa"/>
            <w:gridSpan w:val="3"/>
          </w:tcPr>
          <w:p w:rsidR="00414F21" w:rsidRPr="00714D4B" w:rsidRDefault="00414F21" w:rsidP="00414F21">
            <w:pPr>
              <w:pStyle w:val="NoSpacing"/>
              <w:rPr>
                <w:sz w:val="20"/>
                <w:szCs w:val="20"/>
              </w:rPr>
            </w:pPr>
            <w:r w:rsidRPr="00714D4B">
              <w:rPr>
                <w:sz w:val="20"/>
                <w:szCs w:val="20"/>
              </w:rPr>
              <w:t xml:space="preserve">Minimum 20 / Max 30 </w:t>
            </w:r>
          </w:p>
          <w:p w:rsidR="00414F21" w:rsidRPr="00714D4B" w:rsidRDefault="00414F21" w:rsidP="00414F21">
            <w:pPr>
              <w:pStyle w:val="NoSpacing"/>
              <w:rPr>
                <w:sz w:val="20"/>
                <w:szCs w:val="20"/>
              </w:rPr>
            </w:pPr>
            <w:r w:rsidRPr="00714D4B">
              <w:rPr>
                <w:sz w:val="20"/>
                <w:szCs w:val="20"/>
              </w:rPr>
              <w:t>Open to the Public – Lodging available (75-mile rule applies)</w:t>
            </w:r>
          </w:p>
          <w:p w:rsidR="00414F21" w:rsidRPr="00714D4B" w:rsidRDefault="00414F21" w:rsidP="00414F21">
            <w:pPr>
              <w:pStyle w:val="NoSpacing"/>
              <w:rPr>
                <w:sz w:val="20"/>
                <w:szCs w:val="20"/>
              </w:rPr>
            </w:pPr>
            <w:r w:rsidRPr="00714D4B">
              <w:rPr>
                <w:sz w:val="20"/>
                <w:szCs w:val="20"/>
              </w:rPr>
              <w:t>POST Approved</w:t>
            </w:r>
          </w:p>
          <w:p w:rsidR="00414F21" w:rsidRPr="00714D4B" w:rsidRDefault="00414F21" w:rsidP="00414F21">
            <w:pPr>
              <w:pStyle w:val="NoSpacing"/>
              <w:rPr>
                <w:sz w:val="20"/>
                <w:szCs w:val="20"/>
              </w:rPr>
            </w:pPr>
          </w:p>
        </w:tc>
      </w:tr>
      <w:tr w:rsidR="006338A9" w:rsidRPr="00714D4B" w:rsidTr="008D55D7">
        <w:tc>
          <w:tcPr>
            <w:tcW w:w="2425" w:type="dxa"/>
          </w:tcPr>
          <w:p w:rsidR="006338A9" w:rsidRPr="00714D4B" w:rsidRDefault="006338A9" w:rsidP="00EC2018">
            <w:pPr>
              <w:pStyle w:val="NoSpacing"/>
              <w:rPr>
                <w:b/>
                <w:sz w:val="20"/>
                <w:szCs w:val="20"/>
              </w:rPr>
            </w:pPr>
            <w:r w:rsidRPr="00714D4B">
              <w:rPr>
                <w:b/>
                <w:sz w:val="20"/>
                <w:szCs w:val="20"/>
              </w:rPr>
              <w:t>Enroll online at:</w:t>
            </w:r>
          </w:p>
        </w:tc>
        <w:tc>
          <w:tcPr>
            <w:tcW w:w="8591" w:type="dxa"/>
            <w:gridSpan w:val="3"/>
          </w:tcPr>
          <w:p w:rsidR="00673139" w:rsidRPr="00714D4B" w:rsidRDefault="00714D4B" w:rsidP="00EC2018">
            <w:pPr>
              <w:pStyle w:val="NoSpacing"/>
              <w:rPr>
                <w:rStyle w:val="Hyperlink"/>
                <w:sz w:val="20"/>
                <w:szCs w:val="20"/>
              </w:rPr>
            </w:pPr>
            <w:hyperlink r:id="rId55" w:history="1">
              <w:r w:rsidRPr="00714D4B">
                <w:rPr>
                  <w:rStyle w:val="Hyperlink"/>
                  <w:sz w:val="20"/>
                  <w:szCs w:val="20"/>
                </w:rPr>
                <w:t>https://www.sematraining.com/courses/42/offerings/7986</w:t>
              </w:r>
            </w:hyperlink>
            <w:r w:rsidRPr="00714D4B">
              <w:rPr>
                <w:sz w:val="20"/>
                <w:szCs w:val="20"/>
              </w:rPr>
              <w:t xml:space="preserve"> </w:t>
            </w:r>
          </w:p>
          <w:p w:rsidR="0081153C" w:rsidRPr="00714D4B" w:rsidRDefault="0081153C" w:rsidP="00EC2018">
            <w:pPr>
              <w:pStyle w:val="NoSpacing"/>
              <w:rPr>
                <w:sz w:val="20"/>
                <w:szCs w:val="20"/>
              </w:rPr>
            </w:pPr>
          </w:p>
        </w:tc>
      </w:tr>
      <w:tr w:rsidR="00714D4B" w:rsidRPr="00714D4B" w:rsidTr="008D55D7">
        <w:tc>
          <w:tcPr>
            <w:tcW w:w="4121" w:type="dxa"/>
            <w:gridSpan w:val="2"/>
          </w:tcPr>
          <w:p w:rsidR="00714D4B" w:rsidRPr="00714D4B" w:rsidRDefault="00714D4B" w:rsidP="00714D4B">
            <w:pPr>
              <w:pStyle w:val="NoSpacing"/>
              <w:rPr>
                <w:b/>
                <w:sz w:val="20"/>
                <w:szCs w:val="20"/>
              </w:rPr>
            </w:pPr>
            <w:r w:rsidRPr="00714D4B">
              <w:rPr>
                <w:b/>
                <w:sz w:val="20"/>
                <w:szCs w:val="20"/>
              </w:rPr>
              <w:t xml:space="preserve">For Issues or Questions Enrolling </w:t>
            </w:r>
          </w:p>
          <w:p w:rsidR="00714D4B" w:rsidRPr="00714D4B" w:rsidRDefault="00714D4B" w:rsidP="00714D4B">
            <w:pPr>
              <w:pStyle w:val="NoSpacing"/>
              <w:rPr>
                <w:sz w:val="20"/>
                <w:szCs w:val="20"/>
              </w:rPr>
            </w:pPr>
            <w:r w:rsidRPr="00714D4B">
              <w:rPr>
                <w:b/>
                <w:sz w:val="20"/>
                <w:szCs w:val="20"/>
              </w:rPr>
              <w:t>Contact:</w:t>
            </w:r>
          </w:p>
        </w:tc>
        <w:tc>
          <w:tcPr>
            <w:tcW w:w="6895" w:type="dxa"/>
            <w:gridSpan w:val="2"/>
          </w:tcPr>
          <w:p w:rsidR="00714D4B" w:rsidRPr="00714D4B" w:rsidRDefault="00714D4B" w:rsidP="00714D4B">
            <w:pPr>
              <w:pStyle w:val="NoSpacing"/>
              <w:rPr>
                <w:sz w:val="20"/>
                <w:szCs w:val="20"/>
              </w:rPr>
            </w:pPr>
            <w:r w:rsidRPr="00714D4B">
              <w:rPr>
                <w:sz w:val="20"/>
                <w:szCs w:val="20"/>
              </w:rPr>
              <w:t>Laura Norris, State Training Officer</w:t>
            </w:r>
          </w:p>
          <w:p w:rsidR="00714D4B" w:rsidRPr="00714D4B" w:rsidRDefault="00714D4B" w:rsidP="00714D4B">
            <w:pPr>
              <w:pStyle w:val="NoSpacing"/>
              <w:rPr>
                <w:sz w:val="20"/>
                <w:szCs w:val="20"/>
              </w:rPr>
            </w:pPr>
            <w:r w:rsidRPr="00714D4B">
              <w:rPr>
                <w:sz w:val="20"/>
                <w:szCs w:val="20"/>
              </w:rPr>
              <w:t>PO Box 116</w:t>
            </w:r>
          </w:p>
          <w:p w:rsidR="00714D4B" w:rsidRPr="00714D4B" w:rsidRDefault="00714D4B" w:rsidP="00714D4B">
            <w:pPr>
              <w:pStyle w:val="NoSpacing"/>
              <w:rPr>
                <w:sz w:val="20"/>
                <w:szCs w:val="20"/>
              </w:rPr>
            </w:pPr>
            <w:r w:rsidRPr="00714D4B">
              <w:rPr>
                <w:sz w:val="20"/>
                <w:szCs w:val="20"/>
              </w:rPr>
              <w:t>Jefferson City, MO  65102</w:t>
            </w:r>
          </w:p>
          <w:p w:rsidR="00714D4B" w:rsidRPr="00714D4B" w:rsidRDefault="00714D4B" w:rsidP="00714D4B">
            <w:pPr>
              <w:pStyle w:val="NoSpacing"/>
              <w:rPr>
                <w:sz w:val="20"/>
                <w:szCs w:val="20"/>
              </w:rPr>
            </w:pPr>
            <w:r w:rsidRPr="00714D4B">
              <w:rPr>
                <w:sz w:val="20"/>
                <w:szCs w:val="20"/>
              </w:rPr>
              <w:t>Phone:  (573) 522-4098 / Fax:  (573) 526-9262</w:t>
            </w:r>
          </w:p>
          <w:p w:rsidR="00714D4B" w:rsidRPr="00714D4B" w:rsidRDefault="00714D4B" w:rsidP="00714D4B">
            <w:pPr>
              <w:pStyle w:val="NoSpacing"/>
              <w:rPr>
                <w:sz w:val="20"/>
                <w:szCs w:val="20"/>
              </w:rPr>
            </w:pPr>
          </w:p>
        </w:tc>
      </w:tr>
      <w:tr w:rsidR="00714D4B" w:rsidRPr="00714D4B" w:rsidTr="008D55D7">
        <w:tc>
          <w:tcPr>
            <w:tcW w:w="11016" w:type="dxa"/>
            <w:gridSpan w:val="4"/>
          </w:tcPr>
          <w:p w:rsidR="00714D4B" w:rsidRPr="00714D4B" w:rsidRDefault="00714D4B" w:rsidP="00714D4B">
            <w:pPr>
              <w:pStyle w:val="NoSpacing"/>
              <w:rPr>
                <w:b/>
                <w:sz w:val="20"/>
                <w:szCs w:val="20"/>
              </w:rPr>
            </w:pPr>
            <w:r w:rsidRPr="00714D4B">
              <w:rPr>
                <w:b/>
                <w:sz w:val="20"/>
                <w:szCs w:val="20"/>
              </w:rPr>
              <w:t xml:space="preserve">If you need assistance or special accommodations for this training, please contact Laura Norris at </w:t>
            </w:r>
          </w:p>
          <w:p w:rsidR="00714D4B" w:rsidRPr="00714D4B" w:rsidRDefault="00714D4B" w:rsidP="00714D4B">
            <w:pPr>
              <w:pStyle w:val="NoSpacing"/>
              <w:rPr>
                <w:sz w:val="20"/>
                <w:szCs w:val="20"/>
              </w:rPr>
            </w:pPr>
            <w:r w:rsidRPr="00714D4B">
              <w:rPr>
                <w:b/>
                <w:sz w:val="20"/>
                <w:szCs w:val="20"/>
              </w:rPr>
              <w:t xml:space="preserve">(573) 522-4098, </w:t>
            </w:r>
            <w:hyperlink r:id="rId56">
              <w:r w:rsidRPr="00714D4B">
                <w:rPr>
                  <w:b/>
                  <w:color w:val="0000FF"/>
                  <w:sz w:val="20"/>
                  <w:szCs w:val="20"/>
                  <w:u w:val="single" w:color="0000FF"/>
                </w:rPr>
                <w:t>Laura.Norris@sema.dps.mo.gov</w:t>
              </w:r>
              <w:r w:rsidRPr="00714D4B">
                <w:rPr>
                  <w:b/>
                  <w:color w:val="0000FF"/>
                  <w:sz w:val="20"/>
                  <w:szCs w:val="20"/>
                </w:rPr>
                <w:t xml:space="preserve"> </w:t>
              </w:r>
            </w:hyperlink>
            <w:r w:rsidRPr="00714D4B">
              <w:rPr>
                <w:b/>
                <w:sz w:val="20"/>
                <w:szCs w:val="20"/>
              </w:rPr>
              <w:t xml:space="preserve">or June Simonton at (573) 526-9121, </w:t>
            </w:r>
            <w:hyperlink r:id="rId57" w:history="1">
              <w:r w:rsidRPr="00714D4B">
                <w:rPr>
                  <w:rStyle w:val="Hyperlink"/>
                  <w:b/>
                  <w:sz w:val="20"/>
                  <w:szCs w:val="20"/>
                </w:rPr>
                <w:t>June.Simonton@sema.dps.mo.gov</w:t>
              </w:r>
            </w:hyperlink>
            <w:r w:rsidRPr="00714D4B">
              <w:rPr>
                <w:b/>
                <w:sz w:val="20"/>
                <w:szCs w:val="20"/>
              </w:rPr>
              <w:t xml:space="preserve"> prior to the training date.</w:t>
            </w:r>
          </w:p>
        </w:tc>
      </w:tr>
    </w:tbl>
    <w:p w:rsidR="0036321D" w:rsidRPr="00714D4B" w:rsidRDefault="0036321D" w:rsidP="00EC2018">
      <w:pPr>
        <w:pStyle w:val="NoSpacing"/>
        <w:rPr>
          <w:sz w:val="20"/>
          <w:szCs w:val="20"/>
        </w:rPr>
      </w:pPr>
    </w:p>
    <w:sectPr w:rsidR="0036321D" w:rsidRPr="00714D4B">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643EF"/>
    <w:rsid w:val="0036321D"/>
    <w:rsid w:val="00414F21"/>
    <w:rsid w:val="006338A9"/>
    <w:rsid w:val="00673139"/>
    <w:rsid w:val="00681C3D"/>
    <w:rsid w:val="006A165A"/>
    <w:rsid w:val="00714D4B"/>
    <w:rsid w:val="007C7328"/>
    <w:rsid w:val="0081153C"/>
    <w:rsid w:val="008D55D7"/>
    <w:rsid w:val="00950FCA"/>
    <w:rsid w:val="00A365F8"/>
    <w:rsid w:val="00B4491D"/>
    <w:rsid w:val="00E22D15"/>
    <w:rsid w:val="00EC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0EB5"/>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414F2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60350">
      <w:bodyDiv w:val="1"/>
      <w:marLeft w:val="0"/>
      <w:marRight w:val="0"/>
      <w:marTop w:val="0"/>
      <w:marBottom w:val="0"/>
      <w:divBdr>
        <w:top w:val="none" w:sz="0" w:space="0" w:color="auto"/>
        <w:left w:val="none" w:sz="0" w:space="0" w:color="auto"/>
        <w:bottom w:val="none" w:sz="0" w:space="0" w:color="auto"/>
        <w:right w:val="none" w:sz="0" w:space="0" w:color="auto"/>
      </w:divBdr>
    </w:div>
    <w:div w:id="1397515334">
      <w:bodyDiv w:val="1"/>
      <w:marLeft w:val="0"/>
      <w:marRight w:val="0"/>
      <w:marTop w:val="0"/>
      <w:marBottom w:val="0"/>
      <w:divBdr>
        <w:top w:val="none" w:sz="0" w:space="0" w:color="auto"/>
        <w:left w:val="none" w:sz="0" w:space="0" w:color="auto"/>
        <w:bottom w:val="none" w:sz="0" w:space="0" w:color="auto"/>
        <w:right w:val="none" w:sz="0" w:space="0" w:color="auto"/>
      </w:divBdr>
      <w:divsChild>
        <w:div w:id="237323047">
          <w:marLeft w:val="0"/>
          <w:marRight w:val="0"/>
          <w:marTop w:val="0"/>
          <w:marBottom w:val="0"/>
          <w:divBdr>
            <w:top w:val="none" w:sz="0" w:space="0" w:color="auto"/>
            <w:left w:val="none" w:sz="0" w:space="0" w:color="auto"/>
            <w:bottom w:val="none" w:sz="0" w:space="0" w:color="auto"/>
            <w:right w:val="none" w:sz="0" w:space="0" w:color="auto"/>
          </w:divBdr>
        </w:div>
      </w:divsChild>
    </w:div>
    <w:div w:id="1443921591">
      <w:bodyDiv w:val="1"/>
      <w:marLeft w:val="0"/>
      <w:marRight w:val="0"/>
      <w:marTop w:val="0"/>
      <w:marBottom w:val="0"/>
      <w:divBdr>
        <w:top w:val="none" w:sz="0" w:space="0" w:color="auto"/>
        <w:left w:val="none" w:sz="0" w:space="0" w:color="auto"/>
        <w:bottom w:val="none" w:sz="0" w:space="0" w:color="auto"/>
        <w:right w:val="none" w:sz="0" w:space="0" w:color="auto"/>
      </w:divBdr>
      <w:divsChild>
        <w:div w:id="805246840">
          <w:marLeft w:val="0"/>
          <w:marRight w:val="0"/>
          <w:marTop w:val="0"/>
          <w:marBottom w:val="0"/>
          <w:divBdr>
            <w:top w:val="none" w:sz="0" w:space="0" w:color="auto"/>
            <w:left w:val="none" w:sz="0" w:space="0" w:color="auto"/>
            <w:bottom w:val="none" w:sz="0" w:space="0" w:color="auto"/>
            <w:right w:val="none" w:sz="0" w:space="0" w:color="auto"/>
          </w:divBdr>
        </w:div>
      </w:divsChild>
    </w:div>
    <w:div w:id="2066491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https://www.sematraining.com/courses/42/offerings/7986"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hyperlink" Target="mailto:June.Simonton@sema.dps.mo.gov"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Laura.Norris@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Frazier</dc:creator>
  <cp:lastModifiedBy>Norris, Laura</cp:lastModifiedBy>
  <cp:revision>3</cp:revision>
  <cp:lastPrinted>2019-01-08T16:48:00Z</cp:lastPrinted>
  <dcterms:created xsi:type="dcterms:W3CDTF">2021-05-19T13:43:00Z</dcterms:created>
  <dcterms:modified xsi:type="dcterms:W3CDTF">2021-05-19T13:58:00Z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